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75" w:rsidRPr="00E62F79" w:rsidRDefault="00052775" w:rsidP="00052775">
      <w:pPr>
        <w:pStyle w:val="Cmsor2"/>
        <w:jc w:val="both"/>
        <w:rPr>
          <w:rFonts w:ascii="Times New Roman" w:hAnsi="Times New Roman"/>
          <w:i w:val="0"/>
        </w:rPr>
      </w:pPr>
      <w:bookmarkStart w:id="0" w:name="_Toc191954874"/>
      <w:r w:rsidRPr="00E62F79">
        <w:rPr>
          <w:rFonts w:ascii="Times New Roman" w:hAnsi="Times New Roman"/>
          <w:i w:val="0"/>
        </w:rPr>
        <w:t>12. Mágnességtan</w:t>
      </w:r>
      <w:bookmarkEnd w:id="0"/>
      <w:r w:rsidRPr="00E62F79">
        <w:rPr>
          <w:rFonts w:ascii="Times New Roman" w:hAnsi="Times New Roman"/>
          <w:i w:val="0"/>
        </w:rPr>
        <w:t>, indukció</w:t>
      </w:r>
    </w:p>
    <w:p w:rsidR="00052775" w:rsidRDefault="00052775" w:rsidP="00052775">
      <w:pPr>
        <w:pStyle w:val="Cmsor3"/>
        <w:jc w:val="both"/>
        <w:rPr>
          <w:rFonts w:ascii="Times New Roman" w:hAnsi="Times New Roman"/>
          <w:sz w:val="24"/>
        </w:rPr>
      </w:pPr>
      <w:bookmarkStart w:id="1" w:name="_Toc191954875"/>
      <w:r>
        <w:rPr>
          <w:rFonts w:ascii="Times New Roman" w:hAnsi="Times New Roman"/>
          <w:sz w:val="24"/>
        </w:rPr>
        <w:t xml:space="preserve">12.1. </w:t>
      </w:r>
      <w:proofErr w:type="spellStart"/>
      <w:r>
        <w:rPr>
          <w:rFonts w:ascii="Times New Roman" w:hAnsi="Times New Roman"/>
          <w:sz w:val="24"/>
        </w:rPr>
        <w:t>Magnetosztatika</w:t>
      </w:r>
      <w:bookmarkEnd w:id="1"/>
      <w:proofErr w:type="spellEnd"/>
    </w:p>
    <w:p w:rsidR="00052775" w:rsidRDefault="00052775" w:rsidP="00052775">
      <w:pPr>
        <w:jc w:val="both"/>
      </w:pPr>
    </w:p>
    <w:p w:rsidR="00052775" w:rsidRDefault="00052775" w:rsidP="00052775">
      <w:pPr>
        <w:jc w:val="both"/>
      </w:pPr>
      <w:r>
        <w:t xml:space="preserve">Az elektromos jelenségek mellett mágneses jelenségek is fellépnek, melyekről már a régi görögök is beszámoltak. Az első írott emlékek a Kis-Ázsiai </w:t>
      </w:r>
      <w:proofErr w:type="spellStart"/>
      <w:r>
        <w:t>Magnésia</w:t>
      </w:r>
      <w:proofErr w:type="spellEnd"/>
      <w:r>
        <w:t xml:space="preserve"> városból származnak (innen a jelenség neve) és különböző „vasdarabok” egymásra gyakorolt vonzó és taszító hatásairól szólnak. Ez volt a </w:t>
      </w:r>
      <w:proofErr w:type="spellStart"/>
      <w:r>
        <w:t>magnetosztatika</w:t>
      </w:r>
      <w:proofErr w:type="spellEnd"/>
      <w:r>
        <w:t xml:space="preserve"> első leírt észleléssorozata. </w:t>
      </w:r>
    </w:p>
    <w:p w:rsidR="00052775" w:rsidRDefault="00052775" w:rsidP="00052775">
      <w:pPr>
        <w:jc w:val="right"/>
      </w:pPr>
    </w:p>
    <w:p w:rsidR="00052775" w:rsidRDefault="00052775" w:rsidP="00052775">
      <w:pPr>
        <w:jc w:val="right"/>
      </w:pPr>
      <w:r>
        <w:pict>
          <v:group id="_x0000_s1068" style="position:absolute;left:0;text-align:left;margin-left:136.8pt;margin-top:.5pt;width:193.8pt;height:48.45pt;z-index:251662336" coordorigin="3937,3757" coordsize="3876,969">
            <v:rect id="_x0000_s1069" style="position:absolute;left:4051;top:4384;width:3591;height:342"/>
            <v:oval id="_x0000_s1070" style="position:absolute;left:4165;top:4528;width:57;height:57" fillcolor="#36f"/>
            <v:oval id="_x0000_s1071" style="position:absolute;left:7471;top:4528;width:57;height:57" fillcolor="#36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3937;top:3757;width:456;height:399" stroked="f">
              <v:textbox>
                <w:txbxContent>
                  <w:p w:rsidR="00052775" w:rsidRDefault="00052775" w:rsidP="00052775">
                    <w:r>
                      <w:t>É</w:t>
                    </w:r>
                  </w:p>
                </w:txbxContent>
              </v:textbox>
            </v:shape>
            <v:shape id="_x0000_s1073" type="#_x0000_t202" style="position:absolute;left:7243;top:3757;width:570;height:456" stroked="f">
              <v:textbox>
                <w:txbxContent>
                  <w:p w:rsidR="00052775" w:rsidRDefault="00052775" w:rsidP="00052775">
                    <w:r>
                      <w:object w:dxaOrig="240" w:dyaOrig="32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34" type="#_x0000_t75" style="width:12pt;height:15.75pt" o:ole="">
                          <v:imagedata r:id="rId4" o:title=""/>
                        </v:shape>
                        <o:OLEObject Type="Embed" ProgID="Equation.3" ShapeID="_x0000_i1034" DrawAspect="Content" ObjectID="_1423428554" r:id="rId5"/>
                      </w:object>
                    </w:r>
                  </w:p>
                </w:txbxContent>
              </v:textbox>
            </v:shape>
          </v:group>
        </w:pict>
      </w:r>
    </w:p>
    <w:p w:rsidR="00052775" w:rsidRDefault="00052775" w:rsidP="00052775">
      <w:pPr>
        <w:jc w:val="right"/>
      </w:pPr>
    </w:p>
    <w:p w:rsidR="00052775" w:rsidRDefault="00052775" w:rsidP="00052775">
      <w:pPr>
        <w:jc w:val="right"/>
      </w:pPr>
    </w:p>
    <w:p w:rsidR="00052775" w:rsidRDefault="00052775" w:rsidP="00052775">
      <w:pPr>
        <w:jc w:val="right"/>
      </w:pPr>
    </w:p>
    <w:p w:rsidR="00052775" w:rsidRDefault="00052775" w:rsidP="00052775">
      <w:pPr>
        <w:jc w:val="center"/>
      </w:pPr>
    </w:p>
    <w:p w:rsidR="00052775" w:rsidRDefault="00052775" w:rsidP="00052775">
      <w:pPr>
        <w:jc w:val="center"/>
      </w:pPr>
      <w:r>
        <w:t xml:space="preserve">12.1.1. ábra </w:t>
      </w:r>
      <w:proofErr w:type="spellStart"/>
      <w:r>
        <w:t>Mágnesrúd</w:t>
      </w:r>
      <w:proofErr w:type="spellEnd"/>
      <w:r>
        <w:t xml:space="preserve"> és a pólusai</w:t>
      </w:r>
    </w:p>
    <w:p w:rsidR="00052775" w:rsidRDefault="00052775" w:rsidP="00052775">
      <w:pPr>
        <w:jc w:val="right"/>
      </w:pPr>
    </w:p>
    <w:p w:rsidR="00052775" w:rsidRDefault="00052775" w:rsidP="00052775">
      <w:pPr>
        <w:jc w:val="both"/>
      </w:pPr>
      <w:r>
        <w:t xml:space="preserve">A részletes, mai értelemben véve tudományos, vizsgálatok azt mutatták, hogy a mágneses tulajdonsággal rendelkező testek mágneses pólusokkal írhatók le. A mágneses pólusok elnevezés gyökere az, hogy ha egy a hosszához képest elhanyagolható vastagságú </w:t>
      </w:r>
      <w:proofErr w:type="spellStart"/>
      <w:r>
        <w:t>mágnesrudat</w:t>
      </w:r>
      <w:proofErr w:type="spellEnd"/>
      <w:r>
        <w:t xml:space="preserve"> a közepénél felfüggesztünk, akkor az elfordul. És észak-déli irányba áll be. A rúd észak felé mutató végét északi, a másikat déli pólusnak nevezzük. A mágnes pólusainak (az elektrosztatikából kölcsönzött elnevezés szerint a mágneses ponttöltéseinek) helye a mágnes végétől a hosszának </w:t>
      </w:r>
      <w:proofErr w:type="spellStart"/>
      <w:r>
        <w:t>egytizenketted</w:t>
      </w:r>
      <w:proofErr w:type="spellEnd"/>
      <w:r>
        <w:t xml:space="preserve"> részében van (12.1.1. ábra).  A mágneses „töltés” helyett póluserősségről (p) beszélünk, melynek mértékegysége </w:t>
      </w:r>
      <w:proofErr w:type="gramStart"/>
      <w:r>
        <w:t>Vs.</w:t>
      </w:r>
      <w:proofErr w:type="gramEnd"/>
      <w:r>
        <w:t xml:space="preserve"> A villamos térerősségnek megfelelően definiálni lehet a mágneses térerősséget (</w:t>
      </w:r>
      <w:r>
        <w:rPr>
          <w:position w:val="-4"/>
        </w:rPr>
        <w:object w:dxaOrig="260" w:dyaOrig="320">
          <v:shape id="_x0000_i1025" type="#_x0000_t75" style="width:12.75pt;height:15.75pt" o:ole="">
            <v:imagedata r:id="rId6" o:title=""/>
          </v:shape>
          <o:OLEObject Type="Embed" ProgID="Equation.3" ShapeID="_x0000_i1025" DrawAspect="Content" ObjectID="_1423428545" r:id="rId7"/>
        </w:object>
      </w:r>
      <w:r>
        <w:t>) az alábbi módon:</w:t>
      </w:r>
    </w:p>
    <w:p w:rsidR="00052775" w:rsidRDefault="00052775" w:rsidP="00052775">
      <w:pPr>
        <w:jc w:val="center"/>
      </w:pPr>
    </w:p>
    <w:p w:rsidR="00052775" w:rsidRDefault="00052775" w:rsidP="00052775">
      <w:pPr>
        <w:jc w:val="center"/>
      </w:pPr>
      <w:r>
        <w:t xml:space="preserve">                                                            </w:t>
      </w:r>
      <w:r>
        <w:rPr>
          <w:position w:val="-28"/>
        </w:rPr>
        <w:object w:dxaOrig="1899" w:dyaOrig="700">
          <v:shape id="_x0000_i1026" type="#_x0000_t75" style="width:95.25pt;height:35.25pt" o:ole="">
            <v:imagedata r:id="rId8" o:title=""/>
          </v:shape>
          <o:OLEObject Type="Embed" ProgID="Equation.3" ShapeID="_x0000_i1026" DrawAspect="Content" ObjectID="_1423428546" r:id="rId9"/>
        </w:object>
      </w:r>
      <w:r>
        <w:t>.                                             (12.1.1)</w:t>
      </w:r>
    </w:p>
    <w:p w:rsidR="00052775" w:rsidRDefault="00052775" w:rsidP="00052775">
      <w:pPr>
        <w:jc w:val="center"/>
      </w:pPr>
    </w:p>
    <w:p w:rsidR="00052775" w:rsidRDefault="00052775" w:rsidP="00052775">
      <w:pPr>
        <w:jc w:val="both"/>
      </w:pPr>
      <w:r>
        <w:t xml:space="preserve">Az analógia a villamos töltés és a mágneses póluserősség között azért sem teljes, mert amíg különálló villamos pozitív és negatív töltés bőségesen található, addig különálló mágneses déli, illetve északi pólus, azaz mágneses </w:t>
      </w:r>
      <w:proofErr w:type="spellStart"/>
      <w:r>
        <w:t>monopólus</w:t>
      </w:r>
      <w:proofErr w:type="spellEnd"/>
      <w:r>
        <w:t xml:space="preserve"> nem létezik. Ha egy </w:t>
      </w:r>
      <w:proofErr w:type="spellStart"/>
      <w:r>
        <w:t>mágnesrudat</w:t>
      </w:r>
      <w:proofErr w:type="spellEnd"/>
      <w:r>
        <w:t xml:space="preserve"> elfűrészelünk, akkor nem két különálló mágneses pólust, hanem két, mindkét pólussal rendelkező teljes (bár az eredetinél gyengébb) mágnest kapunk. A darabolást egészen a molekuláris szintig folytathatjuk azonos eredménnyel. A molekuláris áramok „elvágásával” a mágneses jelenség is megszűnik. A mágneses tulajdonságokat molekuláris, és kristályszerkezeti okokra lehet visszavezetni.</w:t>
      </w:r>
    </w:p>
    <w:p w:rsidR="00052775" w:rsidRDefault="00052775" w:rsidP="00052775">
      <w:pPr>
        <w:jc w:val="both"/>
      </w:pPr>
    </w:p>
    <w:p w:rsidR="00052775" w:rsidRDefault="00052775" w:rsidP="00052775">
      <w:pPr>
        <w:jc w:val="both"/>
      </w:pPr>
      <w:r>
        <w:t xml:space="preserve">Az állandó mágneses anyagok által keltett mágneses mező leírásához a mágneses mezővonalak nyújthatnak segítséget, hasonlóan az elektrosztatika mezővonalaihoz. Ennek alapját az adja, hogy ha egy </w:t>
      </w:r>
      <w:proofErr w:type="spellStart"/>
      <w:r>
        <w:t>mágnesrúd</w:t>
      </w:r>
      <w:proofErr w:type="spellEnd"/>
      <w:r>
        <w:t xml:space="preserve"> fölé elhelyezett papírlapra finom vasport szórunk, akkor annak részecskéi az 12.1.2. ábrán látható vonalaknak megfelelően oszlanak el. Természetesen a papírt kissé megmozgatva a por eloszlása megváltozik, az azonos jellegű vonalak kissé eltolódnak. Ez azt jelenti, hogy a mező, vagy erővonalak mindenütt ott vannak, nemcsak meghatározott helyeken. A mezőt azonban jól tudjuk szemléltetni kevés vonallal is. A szemléltetéshez használt mágneses térerősség vonalak egységnyi felületre merőleges száma a térerősség abszolút értéke a vizsgált felület helyén. A mágneses térerősség mezővonalai az északi póluson erednek és a délin végződnek mind a mágnesen kívül, mind azon belül. Így az </w:t>
      </w:r>
      <w:r>
        <w:lastRenderedPageBreak/>
        <w:t xml:space="preserve">állandó mágnesek esetében, azaz a </w:t>
      </w:r>
      <w:proofErr w:type="spellStart"/>
      <w:r>
        <w:t>magnetosztatikában</w:t>
      </w:r>
      <w:proofErr w:type="spellEnd"/>
      <w:r>
        <w:t xml:space="preserve">, a mágneses </w:t>
      </w:r>
      <w:proofErr w:type="gramStart"/>
      <w:r>
        <w:t>mező forrásos</w:t>
      </w:r>
      <w:proofErr w:type="gramEnd"/>
      <w:r>
        <w:t xml:space="preserve"> és örvénymentes, forrásai az északi és nyelői a déli pólusok (ez szigorúan igaz a mágneseken kívüli térben, a mágnesek belsejében azonban bonyolultabb a kép).  Mivel a két pólus mindig azonos nagyságú és mindig együtt lép fel, a mágneses alapkonstrukció a mágneses dipólus.  </w:t>
      </w:r>
    </w:p>
    <w:p w:rsidR="00052775" w:rsidRDefault="00052775" w:rsidP="00052775"/>
    <w:p w:rsidR="00052775" w:rsidRDefault="00052775" w:rsidP="00052775">
      <w:r>
        <w:pict>
          <v:group id="_x0000_s1053" style="position:absolute;margin-left:128.25pt;margin-top:4.7pt;width:190.95pt;height:85.5pt;z-index:251661312" coordorigin="2394,5187" coordsize="3819,1710">
            <v:group id="_x0000_s1054" style="position:absolute;left:2394;top:5187;width:3819;height:1710" coordorigin="2337,4788" coordsize="3819,1710">
              <v:oval id="_x0000_s1055" style="position:absolute;left:2337;top:4788;width:3819;height:912"/>
              <v:oval id="_x0000_s1056" style="position:absolute;left:2736;top:5130;width:3021;height:570;flip:y"/>
              <v:oval id="_x0000_s1057" style="position:absolute;left:2337;top:5586;width:3819;height:912"/>
              <v:oval id="_x0000_s1058" style="position:absolute;left:2736;top:5586;width:3021;height:570"/>
              <v:rect id="_x0000_s1059" style="position:absolute;left:3021;top:5472;width:2280;height:342"/>
            </v:group>
            <v:oval id="_x0000_s1060" style="position:absolute;left:5187;top:6012;width:57;height:57" fillcolor="black"/>
            <v:oval id="_x0000_s1061" style="position:absolute;left:3192;top:6000;width:57;height:57" fillcolor="black"/>
            <v:line id="_x0000_s1062" style="position:absolute" from="4161,5187" to="4332,5187">
              <v:stroke endarrow="block"/>
            </v:line>
            <v:line id="_x0000_s1063" style="position:absolute" from="4161,5529" to="4332,5529">
              <v:stroke endarrow="block"/>
            </v:line>
            <v:line id="_x0000_s1064" style="position:absolute" from="4218,6897" to="4389,6897">
              <v:stroke endarrow="block"/>
            </v:line>
            <v:line id="_x0000_s1065" style="position:absolute" from="4218,6555" to="4389,6555">
              <v:stroke endarrow="block"/>
            </v:line>
            <v:shape id="_x0000_s1066" type="#_x0000_t202" style="position:absolute;left:3135;top:5829;width:684;height:513" filled="f" stroked="f">
              <v:textbox>
                <w:txbxContent>
                  <w:p w:rsidR="00052775" w:rsidRDefault="00052775" w:rsidP="00052775">
                    <w:r>
                      <w:t>É</w:t>
                    </w:r>
                  </w:p>
                </w:txbxContent>
              </v:textbox>
            </v:shape>
            <v:shape id="_x0000_s1067" type="#_x0000_t202" style="position:absolute;left:4845;top:5814;width:741;height:456" filled="f" stroked="f">
              <v:textbox>
                <w:txbxContent>
                  <w:p w:rsidR="00052775" w:rsidRDefault="00052775" w:rsidP="00052775">
                    <w:r>
                      <w:t>D</w:t>
                    </w:r>
                  </w:p>
                </w:txbxContent>
              </v:textbox>
            </v:shape>
          </v:group>
        </w:pict>
      </w:r>
    </w:p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>
      <w:pPr>
        <w:jc w:val="center"/>
      </w:pPr>
      <w:r>
        <w:t>12.1.2. ábra Állandó mágnes mezővonalai</w:t>
      </w:r>
    </w:p>
    <w:p w:rsidR="00052775" w:rsidRDefault="00052775" w:rsidP="00052775"/>
    <w:p w:rsidR="00052775" w:rsidRDefault="00052775" w:rsidP="00052775">
      <w:pPr>
        <w:jc w:val="both"/>
      </w:pPr>
      <w:proofErr w:type="gramStart"/>
      <w:r>
        <w:t>A  mágneses</w:t>
      </w:r>
      <w:proofErr w:type="gramEnd"/>
      <w:r>
        <w:t xml:space="preserve"> térerősség (</w:t>
      </w:r>
      <w:r>
        <w:rPr>
          <w:position w:val="-4"/>
        </w:rPr>
        <w:object w:dxaOrig="260" w:dyaOrig="320">
          <v:shape id="_x0000_i1027" type="#_x0000_t75" style="width:12.75pt;height:15.75pt" o:ole="">
            <v:imagedata r:id="rId10" o:title=""/>
          </v:shape>
          <o:OLEObject Type="Embed" ProgID="Equation.3" ShapeID="_x0000_i1027" DrawAspect="Content" ObjectID="_1423428547" r:id="rId11"/>
        </w:object>
      </w:r>
      <w:r>
        <w:t>) helyett a fizikában inkább a mágneses indukció (</w:t>
      </w:r>
      <w:r>
        <w:rPr>
          <w:position w:val="-4"/>
        </w:rPr>
        <w:object w:dxaOrig="240" w:dyaOrig="320">
          <v:shape id="_x0000_i1028" type="#_x0000_t75" style="width:12pt;height:15.75pt" o:ole="">
            <v:imagedata r:id="rId12" o:title=""/>
          </v:shape>
          <o:OLEObject Type="Embed" ProgID="Equation.3" ShapeID="_x0000_i1028" DrawAspect="Content" ObjectID="_1423428548" r:id="rId13"/>
        </w:object>
      </w:r>
      <w:r>
        <w:t>) használatos  (mivel értelmezése a mágnes belsejében egyszerűbb, mint a térerősségé) az alábbi összefüggés szerint:</w:t>
      </w:r>
    </w:p>
    <w:p w:rsidR="00052775" w:rsidRDefault="00052775" w:rsidP="00052775">
      <w:pPr>
        <w:jc w:val="center"/>
      </w:pPr>
      <w:r>
        <w:t xml:space="preserve">                                                                </w:t>
      </w:r>
      <w:r>
        <w:rPr>
          <w:position w:val="-12"/>
        </w:rPr>
        <w:object w:dxaOrig="1379" w:dyaOrig="400">
          <v:shape id="_x0000_i1029" type="#_x0000_t75" style="width:69pt;height:20.25pt" o:ole="">
            <v:imagedata r:id="rId14" o:title=""/>
          </v:shape>
          <o:OLEObject Type="Embed" ProgID="Equation.3" ShapeID="_x0000_i1029" DrawAspect="Content" ObjectID="_1423428549" r:id="rId15"/>
        </w:object>
      </w:r>
      <w:r>
        <w:t>,                                                 (12.1.2)</w:t>
      </w:r>
    </w:p>
    <w:p w:rsidR="00052775" w:rsidRDefault="00052775" w:rsidP="00052775">
      <w:proofErr w:type="gramStart"/>
      <w:r>
        <w:t>ahol</w:t>
      </w:r>
      <w:proofErr w:type="gramEnd"/>
    </w:p>
    <w:p w:rsidR="00052775" w:rsidRDefault="00052775" w:rsidP="00052775">
      <w:pPr>
        <w:jc w:val="center"/>
      </w:pPr>
      <w:r>
        <w:rPr>
          <w:position w:val="-24"/>
        </w:rPr>
        <w:object w:dxaOrig="5220" w:dyaOrig="620">
          <v:shape id="_x0000_i1030" type="#_x0000_t75" style="width:261pt;height:30.75pt" o:ole="">
            <v:imagedata r:id="rId16" o:title=""/>
          </v:shape>
          <o:OLEObject Type="Embed" ProgID="Equation.3" ShapeID="_x0000_i1030" DrawAspect="Content" ObjectID="_1423428550" r:id="rId17"/>
        </w:object>
      </w:r>
      <w:r>
        <w:t>,</w:t>
      </w:r>
    </w:p>
    <w:p w:rsidR="00052775" w:rsidRDefault="00052775" w:rsidP="00052775">
      <w:pPr>
        <w:jc w:val="both"/>
      </w:pPr>
      <w:proofErr w:type="gramStart"/>
      <w:r>
        <w:t>és</w:t>
      </w:r>
      <w:proofErr w:type="gramEnd"/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r</w:t>
      </w:r>
      <w:r>
        <w:t xml:space="preserve"> a mágnest körülvevő közeg ún. </w:t>
      </w:r>
      <w:proofErr w:type="gramStart"/>
      <w:r>
        <w:t>relatív</w:t>
      </w:r>
      <w:proofErr w:type="gramEnd"/>
      <w:r>
        <w:t xml:space="preserve"> </w:t>
      </w:r>
      <w:proofErr w:type="spellStart"/>
      <w:r>
        <w:t>permeabilitása</w:t>
      </w:r>
      <w:proofErr w:type="spellEnd"/>
      <w:r>
        <w:t>, értéke:</w:t>
      </w:r>
    </w:p>
    <w:p w:rsidR="00052775" w:rsidRDefault="00052775" w:rsidP="00052775">
      <w:pPr>
        <w:jc w:val="both"/>
      </w:pPr>
    </w:p>
    <w:p w:rsidR="00052775" w:rsidRDefault="00052775" w:rsidP="00052775">
      <w:pPr>
        <w:jc w:val="both"/>
      </w:pPr>
      <w:r>
        <w:rPr>
          <w:position w:val="-68"/>
        </w:rPr>
        <w:object w:dxaOrig="7280" w:dyaOrig="1480">
          <v:shape id="_x0000_i1031" type="#_x0000_t75" style="width:363.75pt;height:74.25pt" o:ole="">
            <v:imagedata r:id="rId18" o:title=""/>
          </v:shape>
          <o:OLEObject Type="Embed" ProgID="Equation.3" ShapeID="_x0000_i1031" DrawAspect="Content" ObjectID="_1423428551" r:id="rId19"/>
        </w:object>
      </w:r>
      <w:r>
        <w:t>.</w:t>
      </w:r>
    </w:p>
    <w:p w:rsidR="00052775" w:rsidRDefault="00052775" w:rsidP="00052775">
      <w:pPr>
        <w:jc w:val="both"/>
      </w:pPr>
    </w:p>
    <w:p w:rsidR="00052775" w:rsidRDefault="00052775" w:rsidP="00052775">
      <w:pPr>
        <w:jc w:val="both"/>
      </w:pPr>
      <w:r>
        <w:t>A 12.1.2. összefüggés jól érvényes nem ferromágneses anyagokra (gázok, a legtöbb folyadék és szilárd anyag), ferromágneses anyagok esetén csak bizonyos térerősség alatt felel meg a valóságnak, többnyire sokkal bonyolultabb a viszony a két mennyiség között.</w:t>
      </w:r>
    </w:p>
    <w:p w:rsidR="00052775" w:rsidRDefault="00052775" w:rsidP="00052775">
      <w:pPr>
        <w:jc w:val="both"/>
      </w:pPr>
      <w:r>
        <w:t>A mágneses indukció mértékegysége:</w:t>
      </w:r>
    </w:p>
    <w:p w:rsidR="00052775" w:rsidRDefault="00052775" w:rsidP="00052775"/>
    <w:p w:rsidR="00052775" w:rsidRDefault="00052775" w:rsidP="00052775">
      <w:pPr>
        <w:jc w:val="center"/>
      </w:pPr>
      <w:r>
        <w:rPr>
          <w:position w:val="-44"/>
        </w:rPr>
        <w:object w:dxaOrig="3560" w:dyaOrig="1000">
          <v:shape id="_x0000_i1032" type="#_x0000_t75" style="width:177.75pt;height:50.25pt" o:ole="">
            <v:imagedata r:id="rId20" o:title=""/>
          </v:shape>
          <o:OLEObject Type="Embed" ProgID="Equation.3" ShapeID="_x0000_i1032" DrawAspect="Content" ObjectID="_1423428552" r:id="rId21"/>
        </w:object>
      </w:r>
      <w:r>
        <w:t>.</w:t>
      </w:r>
    </w:p>
    <w:p w:rsidR="00052775" w:rsidRDefault="00052775" w:rsidP="00052775"/>
    <w:p w:rsidR="00052775" w:rsidRDefault="00052775" w:rsidP="00052775">
      <w:pPr>
        <w:jc w:val="both"/>
      </w:pPr>
      <w:r>
        <w:t>A mágneses térerőség mérőszáma igen nagy is lehet, az indukció ritkán haladja meg a 3at értéket. Nagy erőfeszítéssel tartósan mintegy 50T-át, impulzus üzemben pedig 150T-át sikerült 2007-ig előállítani erre a célra létrehozott laboratóriumokban.</w:t>
      </w:r>
    </w:p>
    <w:p w:rsidR="00052775" w:rsidRDefault="00052775" w:rsidP="00052775"/>
    <w:p w:rsidR="00052775" w:rsidRDefault="00052775" w:rsidP="00052775">
      <w:pPr>
        <w:rPr>
          <w:b/>
        </w:rPr>
      </w:pPr>
      <w:r>
        <w:rPr>
          <w:b/>
        </w:rPr>
        <w:t>A mágneses Coulomb törvény:</w:t>
      </w:r>
    </w:p>
    <w:p w:rsidR="00052775" w:rsidRDefault="00052775" w:rsidP="00052775">
      <w:r>
        <w:t>Két mágneses pólus erővel hat egymásra. Az azonos pólusok taszítják, a különbözők vonzzák egymást (12.1.3. ábra) az alábbi egyenletnek megfelelően,</w:t>
      </w:r>
    </w:p>
    <w:p w:rsidR="00052775" w:rsidRDefault="00052775" w:rsidP="00052775">
      <w:r>
        <w:t xml:space="preserve">                                                                  </w:t>
      </w:r>
      <w:r>
        <w:rPr>
          <w:position w:val="-30"/>
        </w:rPr>
        <w:object w:dxaOrig="1660" w:dyaOrig="680">
          <v:shape id="_x0000_i1033" type="#_x0000_t75" style="width:83.25pt;height:33.75pt" o:ole="" fillcolor="window">
            <v:imagedata r:id="rId22" o:title=""/>
          </v:shape>
          <o:OLEObject Type="Embed" ProgID="Equation.3" ShapeID="_x0000_i1033" DrawAspect="Content" ObjectID="_1423428553" r:id="rId23"/>
        </w:object>
      </w:r>
      <w:r>
        <w:t>,                                         (12.1.3)</w:t>
      </w:r>
    </w:p>
    <w:p w:rsidR="00052775" w:rsidRDefault="00052775" w:rsidP="00052775"/>
    <w:p w:rsidR="00052775" w:rsidRDefault="00052775" w:rsidP="00052775">
      <w:proofErr w:type="gramStart"/>
      <w:r>
        <w:t>ahol</w:t>
      </w:r>
      <w:proofErr w:type="gramEnd"/>
      <w:r>
        <w:t xml:space="preserve"> p</w:t>
      </w:r>
      <w:r>
        <w:rPr>
          <w:vertAlign w:val="subscript"/>
        </w:rPr>
        <w:t>1</w:t>
      </w:r>
      <w:r>
        <w:t xml:space="preserve"> és p</w:t>
      </w:r>
      <w:r>
        <w:rPr>
          <w:vertAlign w:val="subscript"/>
        </w:rPr>
        <w:t>2</w:t>
      </w:r>
      <w:r>
        <w:t xml:space="preserve"> a két póluserősség, és r a két pólus távolsága.</w:t>
      </w:r>
    </w:p>
    <w:p w:rsidR="00052775" w:rsidRDefault="00052775" w:rsidP="00052775">
      <w:r>
        <w:pict>
          <v:group id="_x0000_s1026" style="position:absolute;margin-left:159.6pt;margin-top:6.35pt;width:139.65pt;height:123.3pt;z-index:251660288" coordorigin="4477,3887" coordsize="2793,2466">
            <v:shape id="_x0000_s1027" type="#_x0000_t202" style="position:absolute;left:5117;top:5897;width:540;height:456" filled="f" stroked="f">
              <v:textbox style="mso-next-textbox:#_x0000_s1027">
                <w:txbxContent>
                  <w:p w:rsidR="00052775" w:rsidRDefault="00052775" w:rsidP="00052775">
                    <w:r>
                      <w:t>F</w:t>
                    </w:r>
                  </w:p>
                </w:txbxContent>
              </v:textbox>
            </v:shape>
            <v:shape id="_x0000_s1028" type="#_x0000_t202" style="position:absolute;left:5917;top:5877;width:627;height:456" filled="f" stroked="f">
              <v:textbox style="mso-next-textbox:#_x0000_s1028">
                <w:txbxContent>
                  <w:p w:rsidR="00052775" w:rsidRDefault="00052775" w:rsidP="00052775">
                    <w:r>
                      <w:t>-F</w:t>
                    </w:r>
                  </w:p>
                </w:txbxContent>
              </v:textbox>
            </v:shape>
            <v:shape id="_x0000_s1029" type="#_x0000_t202" style="position:absolute;left:5637;top:3887;width:460;height:456" filled="f" stroked="f">
              <v:textbox style="mso-next-textbox:#_x0000_s1029">
                <w:txbxContent>
                  <w:p w:rsidR="00052775" w:rsidRDefault="00052775" w:rsidP="00052775">
                    <w:r>
                      <w:t>r</w:t>
                    </w:r>
                  </w:p>
                </w:txbxContent>
              </v:textbox>
            </v:shape>
            <v:rect id="_x0000_s1030" style="position:absolute;left:4591;top:4297;width:969;height:342"/>
            <v:rect id="_x0000_s1031" style="position:absolute;left:6073;top:4297;width:969;height:342"/>
            <v:rect id="_x0000_s1032" style="position:absolute;left:4591;top:4924;width:969;height:342"/>
            <v:rect id="_x0000_s1033" style="position:absolute;left:4591;top:5494;width:969;height:342"/>
            <v:rect id="_x0000_s1034" style="position:absolute;left:6073;top:4867;width:969;height:342"/>
            <v:rect id="_x0000_s1035" style="position:absolute;left:6073;top:5494;width:969;height:342"/>
            <v:rect id="_x0000_s1036" style="position:absolute;left:6985;top:4240;width:285;height:1653" strokecolor="white"/>
            <v:rect id="_x0000_s1037" style="position:absolute;left:4477;top:4240;width:171;height:1710" strokecolor="white"/>
            <v:line id="_x0000_s1038" style="position:absolute" from="5503,4117" to="5503,4459"/>
            <v:line id="_x0000_s1039" style="position:absolute" from="6130,4117" to="6130,4459"/>
            <v:line id="_x0000_s1040" style="position:absolute" from="5503,4231" to="6130,4231">
              <v:stroke startarrow="open" endarrow="open"/>
            </v:line>
            <v:shape id="_x0000_s1041" type="#_x0000_t202" style="position:absolute;left:6073;top:4231;width:627;height:456" filled="f" stroked="f">
              <v:textbox style="mso-next-textbox:#_x0000_s1041">
                <w:txbxContent>
                  <w:p w:rsidR="00052775" w:rsidRDefault="00052775" w:rsidP="00052775">
                    <w:r>
                      <w:t>É</w:t>
                    </w:r>
                  </w:p>
                </w:txbxContent>
              </v:textbox>
            </v:shape>
            <v:shape id="_x0000_s1042" type="#_x0000_t202" style="position:absolute;left:5092;top:4249;width:627;height:456" filled="f" stroked="f">
              <v:textbox style="mso-next-textbox:#_x0000_s1042">
                <w:txbxContent>
                  <w:p w:rsidR="00052775" w:rsidRDefault="00052775" w:rsidP="00052775">
                    <w:r>
                      <w:t>É</w:t>
                    </w:r>
                  </w:p>
                </w:txbxContent>
              </v:textbox>
            </v:shape>
            <v:shape id="_x0000_s1043" type="#_x0000_t202" style="position:absolute;left:5104;top:5428;width:627;height:456" filled="f" stroked="f">
              <v:textbox>
                <w:txbxContent>
                  <w:p w:rsidR="00052775" w:rsidRDefault="00052775" w:rsidP="00052775">
                    <w:r>
                      <w:t>É</w:t>
                    </w:r>
                  </w:p>
                </w:txbxContent>
              </v:textbox>
            </v:shape>
            <v:shape id="_x0000_s1044" type="#_x0000_t202" style="position:absolute;left:5104;top:4915;width:684;height:399" filled="f" stroked="f">
              <v:textbox>
                <w:txbxContent>
                  <w:p w:rsidR="00052775" w:rsidRDefault="00052775" w:rsidP="00052775">
                    <w:r>
                      <w:t>D</w:t>
                    </w:r>
                  </w:p>
                </w:txbxContent>
              </v:textbox>
            </v:shape>
            <v:shape id="_x0000_s1045" type="#_x0000_t202" style="position:absolute;left:5959;top:4858;width:684;height:399" filled="f" stroked="f">
              <v:textbox>
                <w:txbxContent>
                  <w:p w:rsidR="00052775" w:rsidRDefault="00052775" w:rsidP="00052775">
                    <w:r>
                      <w:t xml:space="preserve">  D</w:t>
                    </w:r>
                  </w:p>
                </w:txbxContent>
              </v:textbox>
            </v:shape>
            <v:shape id="_x0000_s1046" type="#_x0000_t202" style="position:absolute;left:6073;top:5485;width:684;height:399" filled="f" stroked="f">
              <v:textbox>
                <w:txbxContent>
                  <w:p w:rsidR="00052775" w:rsidRDefault="00052775" w:rsidP="00052775">
                    <w:r>
                      <w:t>D</w:t>
                    </w:r>
                  </w:p>
                </w:txbxContent>
              </v:textbox>
            </v:shape>
            <v:line id="_x0000_s1047" style="position:absolute" from="6073,4687" to="6472,4687">
              <v:stroke endarrow="block"/>
            </v:line>
            <v:line id="_x0000_s1048" style="position:absolute;flip:x" from="5218,4687" to="5560,4687">
              <v:stroke endarrow="block"/>
            </v:line>
            <v:line id="_x0000_s1049" style="position:absolute" from="6073,5257" to="6472,5257">
              <v:stroke endarrow="block"/>
            </v:line>
            <v:line id="_x0000_s1050" style="position:absolute;flip:x" from="5161,5314" to="5503,5314">
              <v:stroke endarrow="block"/>
            </v:line>
            <v:line id="_x0000_s1051" style="position:absolute" from="5161,5884" to="5560,5884">
              <v:stroke endarrow="block"/>
            </v:line>
            <v:line id="_x0000_s1052" style="position:absolute;flip:x" from="6016,5884" to="6358,5884">
              <v:stroke endarrow="block"/>
            </v:line>
          </v:group>
        </w:pict>
      </w:r>
    </w:p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/>
    <w:p w:rsidR="00052775" w:rsidRDefault="00052775" w:rsidP="00052775">
      <w:pPr>
        <w:jc w:val="center"/>
      </w:pPr>
      <w:r>
        <w:t>12.1.3. ábra Mágneses pólusok között ható erők</w:t>
      </w:r>
    </w:p>
    <w:p w:rsidR="00052775" w:rsidRDefault="00052775" w:rsidP="00052775"/>
    <w:p w:rsidR="00FF4008" w:rsidRDefault="00FF4008"/>
    <w:sectPr w:rsidR="00FF4008" w:rsidSect="00FF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775"/>
    <w:rsid w:val="00052775"/>
    <w:rsid w:val="006F6305"/>
    <w:rsid w:val="007C44B9"/>
    <w:rsid w:val="00FF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2775"/>
    <w:rPr>
      <w:rFonts w:eastAsia="MS Mincho"/>
      <w:sz w:val="24"/>
      <w:szCs w:val="24"/>
      <w:lang w:eastAsia="ja-JP"/>
    </w:rPr>
  </w:style>
  <w:style w:type="paragraph" w:styleId="Cmsor2">
    <w:name w:val="heading 2"/>
    <w:basedOn w:val="Norml"/>
    <w:next w:val="Norml"/>
    <w:link w:val="Cmsor2Char"/>
    <w:qFormat/>
    <w:rsid w:val="000527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052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6F6305"/>
    <w:rPr>
      <w:i/>
      <w:iCs/>
    </w:rPr>
  </w:style>
  <w:style w:type="paragraph" w:customStyle="1" w:styleId="Stlus1">
    <w:name w:val="Stílus1"/>
    <w:basedOn w:val="Norml"/>
    <w:link w:val="Stlus1Char"/>
    <w:qFormat/>
    <w:rsid w:val="006F6305"/>
    <w:pPr>
      <w:jc w:val="both"/>
    </w:pPr>
    <w:rPr>
      <w:rFonts w:eastAsia="Times New Roman"/>
      <w:shd w:val="clear" w:color="auto" w:fill="F4F4F4"/>
      <w:lang w:eastAsia="hu-HU"/>
    </w:rPr>
  </w:style>
  <w:style w:type="character" w:customStyle="1" w:styleId="Stlus1Char">
    <w:name w:val="Stílus1 Char"/>
    <w:basedOn w:val="Bekezdsalapbettpusa"/>
    <w:link w:val="Stlus1"/>
    <w:rsid w:val="006F6305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052775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Cmsor3Char">
    <w:name w:val="Címsor 3 Char"/>
    <w:basedOn w:val="Bekezdsalapbettpusa"/>
    <w:link w:val="Cmsor3"/>
    <w:rsid w:val="00052775"/>
    <w:rPr>
      <w:rFonts w:ascii="Arial" w:eastAsia="MS Mincho" w:hAnsi="Arial" w:cs="Arial"/>
      <w:b/>
      <w:bCs/>
      <w:sz w:val="26"/>
      <w:szCs w:val="2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2013-02-26T23:02:00Z</dcterms:created>
  <dcterms:modified xsi:type="dcterms:W3CDTF">2013-02-26T23:03:00Z</dcterms:modified>
</cp:coreProperties>
</file>